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68" w:rsidRPr="0067131F" w:rsidRDefault="00705652" w:rsidP="00C10568">
      <w:pPr>
        <w:autoSpaceDE w:val="0"/>
        <w:autoSpaceDN w:val="0"/>
        <w:adjustRightInd w:val="0"/>
        <w:spacing w:after="0" w:line="240" w:lineRule="auto"/>
        <w:rPr>
          <w:rFonts w:ascii="VAGRoundedBT-Regular" w:hAnsi="VAGRoundedBT-Regular" w:cs="VAGRoundedBT-Regular"/>
          <w:color w:val="68A3D9"/>
          <w:sz w:val="24"/>
          <w:szCs w:val="24"/>
        </w:rPr>
      </w:pPr>
      <w:r>
        <w:rPr>
          <w:rFonts w:ascii="VAGRoundedBT-Regular" w:hAnsi="VAGRoundedBT-Regular" w:cs="VAGRoundedBT-Regular"/>
          <w:noProof/>
          <w:color w:val="68A3D9"/>
          <w:sz w:val="24"/>
          <w:szCs w:val="24"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-185420</wp:posOffset>
            </wp:positionV>
            <wp:extent cx="847725" cy="857250"/>
            <wp:effectExtent l="19050" t="0" r="9525" b="0"/>
            <wp:wrapNone/>
            <wp:docPr id="2" name="Picture 7" descr="http://www.mobms.hr/media/15782/one-in-f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bms.hr/media/15782/one-in-fi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964" r="50901" b="26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31F" w:rsidRDefault="00A16FFA" w:rsidP="0067131F">
      <w:pPr>
        <w:jc w:val="center"/>
        <w:rPr>
          <w:b/>
          <w:sz w:val="24"/>
          <w:szCs w:val="24"/>
        </w:rPr>
      </w:pPr>
      <w:r>
        <w:rPr>
          <w:rFonts w:ascii="VAGRoundedBT-Regular" w:hAnsi="VAGRoundedBT-Regular" w:cs="VAGRoundedBT-Regular"/>
          <w:sz w:val="18"/>
          <w:szCs w:val="18"/>
        </w:rPr>
        <w:br/>
      </w:r>
      <w:r w:rsidR="00164EAB">
        <w:rPr>
          <w:b/>
          <w:sz w:val="24"/>
          <w:szCs w:val="24"/>
        </w:rPr>
        <w:t>OBAVIJEST RODITELJIMA</w:t>
      </w:r>
    </w:p>
    <w:p w:rsidR="0067131F" w:rsidRPr="0067131F" w:rsidRDefault="0067131F" w:rsidP="0067131F">
      <w:pPr>
        <w:jc w:val="center"/>
        <w:rPr>
          <w:b/>
          <w:sz w:val="18"/>
          <w:szCs w:val="18"/>
        </w:rPr>
      </w:pPr>
      <w:r w:rsidRPr="00916DCF">
        <w:rPr>
          <w:b/>
          <w:sz w:val="18"/>
          <w:szCs w:val="18"/>
        </w:rPr>
        <w:t>PROVEDBA KAMPANJE VIJEĆA EUROPE ZA ZAUSTAVLJAN</w:t>
      </w:r>
      <w:r>
        <w:rPr>
          <w:b/>
          <w:sz w:val="18"/>
          <w:szCs w:val="18"/>
        </w:rPr>
        <w:t>JE SEKSUALNOG NASILJA NAD DJECOM</w:t>
      </w:r>
    </w:p>
    <w:p w:rsidR="0067131F" w:rsidRDefault="0067131F" w:rsidP="0067131F">
      <w:pPr>
        <w:rPr>
          <w:sz w:val="18"/>
          <w:szCs w:val="18"/>
        </w:rPr>
      </w:pPr>
      <w:r w:rsidRPr="00916DCF">
        <w:rPr>
          <w:sz w:val="18"/>
          <w:szCs w:val="18"/>
        </w:rPr>
        <w:t>U sklopu programa Vijeća Europe „Izgradnja Europe za djecu i s djecom“ koji uključuje borbu protiv seksualnog nasilja nad djecom specifičnim pravnim instrumentima i sveobuhvatnim aktivnostima za podizanje razine svijesti, 29.i 30. studenoga 2010. godine u Rimu je pokrenuta kampanja Vijeća Europe za zaustavljanje seksualnog nasilja nad djecom. Svrha kampanje je unaprjeđenje sustava zaštite djece od seksualnog nasilja.</w:t>
      </w:r>
    </w:p>
    <w:p w:rsidR="0067131F" w:rsidRPr="00916DCF" w:rsidRDefault="0067131F" w:rsidP="0067131F">
      <w:pPr>
        <w:rPr>
          <w:sz w:val="18"/>
          <w:szCs w:val="18"/>
        </w:rPr>
      </w:pPr>
      <w:r w:rsidRPr="00916DCF">
        <w:rPr>
          <w:sz w:val="18"/>
          <w:szCs w:val="18"/>
        </w:rPr>
        <w:t>Provedbom kampanje u osnovnim i srednjim školama potrebno je povećati osviještenost i informiranost učenika o spolnom nasilju i educiranjem smanjiti rizik i broj slučajeva spolnog nasilja osiguravajući svim učenicima osnovne informacije o rizicima spolnog nasilja, kao i o načinima kako se zaštititi.</w:t>
      </w:r>
    </w:p>
    <w:p w:rsidR="0067131F" w:rsidRDefault="0067131F" w:rsidP="0067131F">
      <w:pPr>
        <w:rPr>
          <w:sz w:val="18"/>
          <w:szCs w:val="18"/>
        </w:rPr>
      </w:pPr>
      <w:r w:rsidRPr="00916DCF">
        <w:rPr>
          <w:sz w:val="18"/>
          <w:szCs w:val="18"/>
        </w:rPr>
        <w:t>Konvenciju  Vijeća Europe o zaštiti djece od seksualnog iskorištavanja i seksualnog zlostavljanja usvojio je Odbor ministara 12. srpnja 2007. na 1002. sastanku zamjenika ministara.</w:t>
      </w:r>
      <w:r>
        <w:rPr>
          <w:sz w:val="18"/>
          <w:szCs w:val="18"/>
        </w:rPr>
        <w:t xml:space="preserve"> Materijali se nalaze na web stranicama Ministarstva obitelji, branitelja i m</w:t>
      </w:r>
      <w:r w:rsidR="009C05A0">
        <w:rPr>
          <w:sz w:val="18"/>
          <w:szCs w:val="18"/>
        </w:rPr>
        <w:t>eđugeneracijske solidarnosti:</w:t>
      </w:r>
    </w:p>
    <w:p w:rsidR="0067131F" w:rsidRPr="00F62407" w:rsidRDefault="0067131F" w:rsidP="0067131F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Pr="00F62407">
        <w:rPr>
          <w:b/>
          <w:sz w:val="18"/>
          <w:szCs w:val="18"/>
        </w:rPr>
        <w:t>htpp://www.mobms.hr/razno/kampanja-vijeca-europe-za-zaustavljanje-seksualnog-nasilja-nad-djecom.aspx</w:t>
      </w:r>
    </w:p>
    <w:p w:rsidR="0067131F" w:rsidRPr="00916DCF" w:rsidRDefault="0067131F" w:rsidP="0067131F">
      <w:pPr>
        <w:rPr>
          <w:sz w:val="18"/>
          <w:szCs w:val="18"/>
        </w:rPr>
      </w:pPr>
      <w:r w:rsidRPr="00916DCF">
        <w:rPr>
          <w:sz w:val="18"/>
          <w:szCs w:val="18"/>
        </w:rPr>
        <w:t>Konvencija je usvojena zbog sve većeg broja seksualnog  iskorištavanja i zlostavljanja djece koje je naraslo do zabrinjavajućih razmjera kako na državnoj tako i na međunarodnoj razini, posebice s obzirom na povećano korištenje informacijskih i komunikacijskih tehnologija, kako kod djece, tako i kod počinitelja. Seksualno iskorištavanje djece osobito dječja prostitucija i pornografija te sve vrste seksualnog zlostavljanja djece, destruktivni su po zdravlje i psiho-socijalni razvoj djeteta.</w:t>
      </w:r>
    </w:p>
    <w:p w:rsidR="0067131F" w:rsidRPr="00916DCF" w:rsidRDefault="0067131F" w:rsidP="0067131F">
      <w:pPr>
        <w:rPr>
          <w:sz w:val="18"/>
          <w:szCs w:val="18"/>
        </w:rPr>
      </w:pPr>
      <w:r w:rsidRPr="00916DCF">
        <w:rPr>
          <w:b/>
          <w:sz w:val="18"/>
          <w:szCs w:val="18"/>
        </w:rPr>
        <w:t>SEKSUALNO ZLOSTAVLJANJE</w:t>
      </w:r>
      <w:r w:rsidRPr="00916DCF">
        <w:rPr>
          <w:sz w:val="18"/>
          <w:szCs w:val="18"/>
        </w:rPr>
        <w:t>- obuhvaća široki spektar aktivnosti od zajedničkog gledanja pornografskih časopisa i filmova i drugih aktivnosti u kojima dijete aktivno ili pasivno sudjeluje, a odrasla osoba zadovoljava svoje seksualne potrebe. Djeca o svemu šute jer u početku nisu niti svjesna što im se događa; nasilnik ih podmićuje,</w:t>
      </w:r>
      <w:r w:rsidR="009C05A0">
        <w:rPr>
          <w:sz w:val="18"/>
          <w:szCs w:val="18"/>
        </w:rPr>
        <w:t xml:space="preserve"> </w:t>
      </w:r>
      <w:r w:rsidRPr="00916DCF">
        <w:rPr>
          <w:sz w:val="18"/>
          <w:szCs w:val="18"/>
        </w:rPr>
        <w:t>a poslije i obvezuje čuvanjem tajne, pa i zastrašuje kako ne bi nikome o tome govorila. Dakle, zastrašujući i zbunjujući aspekti spolnog zlostavljanja su tajnovitost i suučesništvo. Uza sve to djeca se osjećaju krivom i odgovornom za to što im se događa što ponekad rezultira zdravstvenim smetnjama ili različitim poremećajima ponašanja.</w:t>
      </w:r>
    </w:p>
    <w:p w:rsidR="0067131F" w:rsidRDefault="0067131F" w:rsidP="00A16FFA">
      <w:pPr>
        <w:rPr>
          <w:b/>
          <w:sz w:val="18"/>
          <w:szCs w:val="18"/>
        </w:rPr>
      </w:pPr>
      <w:r w:rsidRPr="00916DCF">
        <w:rPr>
          <w:b/>
          <w:sz w:val="18"/>
          <w:szCs w:val="18"/>
        </w:rPr>
        <w:t>Roditeljima se preporuča da razgovaraju s djecom o dobrim i lošim tajnama, o dobrim i lošim dodirima.</w:t>
      </w:r>
      <w:r w:rsidR="009C05A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Sav materijal može se preuzeti sa stranice </w:t>
      </w:r>
      <w:hyperlink r:id="rId6" w:history="1">
        <w:r w:rsidRPr="0066461A">
          <w:rPr>
            <w:rStyle w:val="Hiperveza"/>
            <w:b/>
            <w:sz w:val="18"/>
            <w:szCs w:val="18"/>
          </w:rPr>
          <w:t>www.underwearrule.org</w:t>
        </w:r>
      </w:hyperlink>
    </w:p>
    <w:p w:rsidR="00A16FFA" w:rsidRPr="0067131F" w:rsidRDefault="0067131F" w:rsidP="00A16FFA">
      <w:pPr>
        <w:rPr>
          <w:b/>
          <w:sz w:val="18"/>
          <w:szCs w:val="18"/>
        </w:rPr>
      </w:pPr>
      <w:r>
        <w:rPr>
          <w:rFonts w:ascii="bubbleboddy-Fat" w:hAnsi="bubbleboddy-Fat" w:cs="bubbleboddy-Fat"/>
          <w:color w:val="68A3D9"/>
          <w:sz w:val="40"/>
          <w:szCs w:val="40"/>
        </w:rPr>
        <w:t xml:space="preserve">                                                             </w:t>
      </w:r>
      <w:r w:rsidR="004042AC" w:rsidRPr="004042AC">
        <w:rPr>
          <w:rFonts w:ascii="VAGRoundedBT-Regular" w:hAnsi="VAGRoundedBT-Regular" w:cs="VAGRoundedBT-Regular"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1.85pt;margin-top:18.15pt;width:181.5pt;height:274.85pt;z-index:251660288;mso-position-horizontal-relative:text;mso-position-vertical-relative:text;mso-width-relative:margin;mso-height-relative:margin">
            <v:textbox style="mso-next-textbox:#_x0000_s1026">
              <w:txbxContent>
                <w:p w:rsidR="00C10568" w:rsidRP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ubbleboddy-Fat" w:hAnsi="bubbleboddy-Fat" w:cs="bubbleboddy-Fat"/>
                      <w:color w:val="68A3D9"/>
                      <w:sz w:val="32"/>
                      <w:szCs w:val="32"/>
                    </w:rPr>
                  </w:pPr>
                  <w:r w:rsidRPr="00C10568">
                    <w:rPr>
                      <w:rFonts w:ascii="bubbleboddy-Fat" w:hAnsi="bubbleboddy-Fat" w:cs="bubbleboddy-Fat"/>
                      <w:color w:val="68A3D9"/>
                      <w:sz w:val="32"/>
                      <w:szCs w:val="32"/>
                    </w:rPr>
                    <w:t>DOBRE TAJNE VAS</w:t>
                  </w:r>
                </w:p>
                <w:p w:rsidR="00C10568" w:rsidRP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ubbleboddy-Fat" w:hAnsi="bubbleboddy-Fat" w:cs="bubbleboddy-Fat"/>
                      <w:color w:val="68A3D9"/>
                      <w:sz w:val="32"/>
                      <w:szCs w:val="32"/>
                    </w:rPr>
                  </w:pPr>
                  <w:r w:rsidRPr="00C10568">
                    <w:rPr>
                      <w:rFonts w:ascii="bubbleboddy-Fat" w:hAnsi="bubbleboddy-Fat" w:cs="bubbleboddy-Fat"/>
                      <w:color w:val="68A3D9"/>
                      <w:sz w:val="32"/>
                      <w:szCs w:val="32"/>
                    </w:rPr>
                    <w:t>ČINE SRETNIMA,</w:t>
                  </w:r>
                </w:p>
                <w:p w:rsidR="00C10568" w:rsidRPr="00A16FFA" w:rsidRDefault="00C10568" w:rsidP="00C10568">
                  <w:pPr>
                    <w:rPr>
                      <w:rFonts w:ascii="VAGRoundedBT-Regular" w:hAnsi="VAGRoundedBT-Regular" w:cs="VAGRoundedBT-Regular"/>
                      <w:sz w:val="18"/>
                      <w:szCs w:val="18"/>
                    </w:rPr>
                  </w:pPr>
                  <w:r w:rsidRPr="00C10568">
                    <w:rPr>
                      <w:rFonts w:ascii="bubbleboddy-Fat" w:hAnsi="bubbleboddy-Fat" w:cs="bubbleboddy-Fat"/>
                      <w:color w:val="68A3D9"/>
                      <w:sz w:val="32"/>
                      <w:szCs w:val="32"/>
                    </w:rPr>
                    <w:t>LOŠE NE.</w:t>
                  </w:r>
                  <w:r w:rsidRPr="00C10568">
                    <w:rPr>
                      <w:rFonts w:ascii="VAGRoundedBT-Regular" w:hAnsi="VAGRoundedBT-Regular" w:cs="VAGRoundedBT-Regular"/>
                      <w:color w:val="68A3D9"/>
                      <w:sz w:val="32"/>
                      <w:szCs w:val="32"/>
                    </w:rPr>
                    <w:br/>
                  </w:r>
                  <w:r>
                    <w:rPr>
                      <w:rFonts w:ascii="VAGRoundedBT-Regular" w:hAnsi="VAGRoundedBT-Regular" w:cs="VAGRoundedBT-Regular"/>
                      <w:color w:val="68A3D9"/>
                      <w:sz w:val="24"/>
                      <w:szCs w:val="24"/>
                    </w:rPr>
                    <w:t>Dobre tajne - loše tajne</w:t>
                  </w:r>
                </w:p>
                <w:p w:rsid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Tajnovitost je glavna taktika seksualnih</w:t>
                  </w:r>
                </w:p>
                <w:p w:rsid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zlostavljača.</w:t>
                  </w:r>
                </w:p>
                <w:p w:rsid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Zbog toga je va</w:t>
                  </w:r>
                  <w:r w:rsidR="00705652"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 xml:space="preserve">žno znati razliku između dobrih </w:t>
                  </w:r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i loših tajni i stv</w:t>
                  </w:r>
                  <w:r w:rsidR="00705652"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 xml:space="preserve">oriti ozračje povjerenja. Svaka </w:t>
                  </w:r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tajna zbog koje se djeca osjećaju tjeskobno,</w:t>
                  </w:r>
                </w:p>
                <w:p w:rsid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neugodno, uplašeno ili tužno nije dobra i</w:t>
                  </w:r>
                </w:p>
                <w:p w:rsid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ne smije se č</w:t>
                  </w:r>
                  <w:r w:rsidR="00705652"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 xml:space="preserve">uvati – nju treba reći odrasloj </w:t>
                  </w:r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 xml:space="preserve">osobi kojoj mogu </w:t>
                  </w:r>
                  <w:r w:rsidR="00705652"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 xml:space="preserve">vjerovati (roditelju, učitelju, </w:t>
                  </w:r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policajcu, lij</w:t>
                  </w:r>
                  <w:r w:rsidR="00705652"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 xml:space="preserve">ečniku). Primjer dobre tajne je </w:t>
                  </w:r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proslava rođendana iznenađenja, a lo</w:t>
                  </w:r>
                  <w:r w:rsidR="00705652"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še</w:t>
                  </w:r>
                  <w:r w:rsidR="005C13FA"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tajne ona koja ih čini tužnima i tjeskobnima.</w:t>
                  </w:r>
                </w:p>
                <w:p w:rsidR="00C10568" w:rsidRDefault="00C10568" w:rsidP="00C10568"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Roditelji trebaju poticati djecu da im govore</w:t>
                  </w:r>
                  <w:r w:rsidR="00705652"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AGRoundedBT-Regular" w:hAnsi="VAGRoundedBT-Regular" w:cs="VAGRoundedBT-Regular"/>
                      <w:sz w:val="18"/>
                      <w:szCs w:val="18"/>
                    </w:rPr>
                    <w:t>loše tajne.</w:t>
                  </w:r>
                  <w:r>
                    <w:rPr>
                      <w:rFonts w:ascii="VAGRoundedBT-Regular" w:hAnsi="VAGRoundedBT-Regular" w:cs="VAGRoundedBT-Regular"/>
                      <w:sz w:val="18"/>
                      <w:szCs w:val="18"/>
                    </w:rPr>
                    <w:br/>
                  </w:r>
                </w:p>
              </w:txbxContent>
            </v:textbox>
          </v:shape>
        </w:pict>
      </w:r>
      <w:r w:rsidR="004042AC" w:rsidRPr="004042AC">
        <w:rPr>
          <w:rFonts w:ascii="VAGRoundedBT-Regular" w:hAnsi="VAGRoundedBT-Regular" w:cs="VAGRoundedBT-Regular"/>
          <w:noProof/>
          <w:color w:val="000000"/>
          <w:sz w:val="18"/>
          <w:szCs w:val="18"/>
          <w:lang w:val="en-US" w:eastAsia="zh-TW"/>
        </w:rPr>
        <w:pict>
          <v:shape id="_x0000_s1028" type="#_x0000_t202" style="position:absolute;margin-left:129.65pt;margin-top:18.15pt;width:201.05pt;height:274.85pt;z-index:251659263;mso-position-horizontal-relative:text;mso-position-vertical-relative:text;mso-width-relative:margin;mso-height-relative:margin">
            <v:textbox style="mso-next-textbox:#_x0000_s1028">
              <w:txbxContent>
                <w:p w:rsidR="00C10568" w:rsidRP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ubbleboddy-Fat" w:hAnsi="bubbleboddy-Fat" w:cs="bubbleboddy-Fat"/>
                      <w:color w:val="68A3D9"/>
                      <w:sz w:val="28"/>
                      <w:szCs w:val="28"/>
                    </w:rPr>
                  </w:pPr>
                  <w:r w:rsidRPr="00C10568">
                    <w:rPr>
                      <w:rFonts w:ascii="bubbleboddy-Fat" w:hAnsi="bubbleboddy-Fat" w:cs="bubbleboddy-Fat"/>
                      <w:color w:val="68A3D9"/>
                      <w:sz w:val="28"/>
                      <w:szCs w:val="28"/>
                    </w:rPr>
                    <w:t>RAZGOVARAJTE SA</w:t>
                  </w:r>
                </w:p>
                <w:p w:rsidR="00705652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ubbleboddy-Fat" w:hAnsi="bubbleboddy-Fat" w:cs="bubbleboddy-Fat"/>
                      <w:color w:val="68A3D9"/>
                      <w:sz w:val="28"/>
                      <w:szCs w:val="28"/>
                    </w:rPr>
                  </w:pPr>
                  <w:r w:rsidRPr="00C10568">
                    <w:rPr>
                      <w:rFonts w:ascii="bubbleboddy-Fat" w:hAnsi="bubbleboddy-Fat" w:cs="bubbleboddy-Fat"/>
                      <w:color w:val="68A3D9"/>
                      <w:sz w:val="28"/>
                      <w:szCs w:val="28"/>
                    </w:rPr>
                    <w:t xml:space="preserve">SVOJOM DJECOM I </w:t>
                  </w:r>
                </w:p>
                <w:p w:rsidR="00C10568" w:rsidRPr="00C10568" w:rsidRDefault="00705652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ubbleboddy-Fat" w:hAnsi="bubbleboddy-Fat" w:cs="bubbleboddy-Fat"/>
                      <w:color w:val="68A3D9"/>
                      <w:sz w:val="28"/>
                      <w:szCs w:val="28"/>
                    </w:rPr>
                  </w:pPr>
                  <w:r>
                    <w:rPr>
                      <w:rFonts w:ascii="bubbleboddy-Fat" w:hAnsi="bubbleboddy-Fat" w:cs="bubbleboddy-Fat"/>
                      <w:color w:val="68A3D9"/>
                      <w:sz w:val="28"/>
                      <w:szCs w:val="28"/>
                    </w:rPr>
                    <w:t xml:space="preserve">BUDITE </w:t>
                  </w:r>
                  <w:r w:rsidR="00C10568" w:rsidRPr="00C10568">
                    <w:rPr>
                      <w:rFonts w:ascii="bubbleboddy-Fat" w:hAnsi="bubbleboddy-Fat" w:cs="bubbleboddy-Fat"/>
                      <w:color w:val="68A3D9"/>
                      <w:sz w:val="28"/>
                      <w:szCs w:val="28"/>
                    </w:rPr>
                    <w:t>SIGURNI DA ONA</w:t>
                  </w:r>
                </w:p>
                <w:p w:rsidR="00C10568" w:rsidRP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68A3D9"/>
                      <w:sz w:val="28"/>
                      <w:szCs w:val="28"/>
                    </w:rPr>
                  </w:pPr>
                  <w:r w:rsidRPr="00C10568">
                    <w:rPr>
                      <w:rFonts w:ascii="bubbleboddy-Fat" w:hAnsi="bubbleboddy-Fat" w:cs="bubbleboddy-Fat"/>
                      <w:color w:val="68A3D9"/>
                      <w:sz w:val="28"/>
                      <w:szCs w:val="28"/>
                    </w:rPr>
                    <w:t>RAZGOVARAJU S VAMA.</w:t>
                  </w:r>
                </w:p>
                <w:p w:rsid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68A3D9"/>
                      <w:sz w:val="24"/>
                      <w:szCs w:val="24"/>
                    </w:rPr>
                  </w:pPr>
                  <w:r>
                    <w:rPr>
                      <w:rFonts w:ascii="VAGRoundedBT-Regular" w:hAnsi="VAGRoundedBT-Regular" w:cs="VAGRoundedBT-Regular"/>
                      <w:color w:val="68A3D9"/>
                      <w:sz w:val="24"/>
                      <w:szCs w:val="24"/>
                    </w:rPr>
                    <w:t>Pravilo donjeg rublja</w:t>
                  </w:r>
                </w:p>
                <w:p w:rsidR="00705652" w:rsidRDefault="00705652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68A3D9"/>
                      <w:sz w:val="24"/>
                      <w:szCs w:val="24"/>
                    </w:rPr>
                  </w:pPr>
                </w:p>
                <w:p w:rsid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Pravilo donjeg rublja su jednostavne</w:t>
                  </w:r>
                </w:p>
                <w:p w:rsid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smjernice koje roditeljima pomažu da</w:t>
                  </w:r>
                </w:p>
                <w:p w:rsid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djeci objasne gdje ih drugi ne smiju</w:t>
                  </w:r>
                </w:p>
                <w:p w:rsid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dodirivati, kako se u takvu slučaju</w:t>
                  </w:r>
                </w:p>
                <w:p w:rsid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ponašati i gdje potražiti pomoć.</w:t>
                  </w:r>
                </w:p>
                <w:p w:rsid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Kako glasi Pravilo donjeg rublja?</w:t>
                  </w:r>
                </w:p>
                <w:p w:rsid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Jednostavno: druge osobe ne smiju</w:t>
                  </w:r>
                </w:p>
                <w:p w:rsid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dirati dijete po dijelovima tijela koji su</w:t>
                  </w:r>
                </w:p>
                <w:p w:rsid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obično prekriveni donjim rubljem, niti</w:t>
                  </w:r>
                </w:p>
                <w:p w:rsid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ono smije dirati druge u tim područjima.</w:t>
                  </w:r>
                </w:p>
                <w:p w:rsid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Pravilo također pomaže objasniti djeci</w:t>
                  </w:r>
                </w:p>
                <w:p w:rsid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da njihovo tijelo pripada njima, da</w:t>
                  </w:r>
                </w:p>
                <w:p w:rsidR="00C10568" w:rsidRDefault="00C10568" w:rsidP="00C10568"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postoje dobre i loše tajne te dobri i</w:t>
                  </w:r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VAGRoundedBT-Regular" w:hAnsi="VAGRoundedBT-Regular" w:cs="VAGRoundedBT-Regular"/>
                      <w:sz w:val="18"/>
                      <w:szCs w:val="18"/>
                    </w:rPr>
                    <w:t>loši dodiri.</w:t>
                  </w:r>
                  <w:r>
                    <w:rPr>
                      <w:rFonts w:ascii="VAGRoundedBT-Regular" w:hAnsi="VAGRoundedBT-Regular" w:cs="VAGRoundedBT-Regular"/>
                      <w:sz w:val="18"/>
                      <w:szCs w:val="18"/>
                    </w:rPr>
                    <w:br/>
                  </w:r>
                </w:p>
              </w:txbxContent>
            </v:textbox>
          </v:shape>
        </w:pict>
      </w:r>
      <w:r w:rsidR="004042AC" w:rsidRPr="004042AC">
        <w:rPr>
          <w:rFonts w:ascii="VAGRoundedBT-Regular" w:hAnsi="VAGRoundedBT-Regular" w:cs="VAGRoundedBT-Regular"/>
          <w:noProof/>
          <w:sz w:val="18"/>
          <w:szCs w:val="18"/>
          <w:lang w:val="en-US" w:eastAsia="zh-TW"/>
        </w:rPr>
        <w:pict>
          <v:shape id="_x0000_s1027" type="#_x0000_t202" style="position:absolute;margin-left:316.45pt;margin-top:18.15pt;width:186.45pt;height:274.85pt;z-index:251662336;mso-position-horizontal-relative:text;mso-position-vertical-relative:text;mso-width-relative:margin;mso-height-relative:margin">
            <v:textbox style="mso-next-textbox:#_x0000_s1027">
              <w:txbxContent>
                <w:p w:rsidR="00C10568" w:rsidRP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ubbleboddy-Fat" w:hAnsi="bubbleboddy-Fat" w:cs="bubbleboddy-Fat"/>
                      <w:color w:val="68A3D9"/>
                      <w:sz w:val="28"/>
                      <w:szCs w:val="28"/>
                    </w:rPr>
                  </w:pPr>
                  <w:r w:rsidRPr="00C10568">
                    <w:rPr>
                      <w:rFonts w:ascii="bubbleboddy-Fat" w:hAnsi="bubbleboddy-Fat" w:cs="bubbleboddy-Fat"/>
                      <w:color w:val="68A3D9"/>
                      <w:sz w:val="28"/>
                      <w:szCs w:val="28"/>
                    </w:rPr>
                    <w:t>AKO SE ZBOG</w:t>
                  </w:r>
                </w:p>
                <w:p w:rsidR="00C10568" w:rsidRP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ubbleboddy-Fat" w:hAnsi="bubbleboddy-Fat" w:cs="bubbleboddy-Fat"/>
                      <w:color w:val="68A3D9"/>
                      <w:sz w:val="28"/>
                      <w:szCs w:val="28"/>
                    </w:rPr>
                  </w:pPr>
                  <w:r w:rsidRPr="00C10568">
                    <w:rPr>
                      <w:rFonts w:ascii="bubbleboddy-Fat" w:hAnsi="bubbleboddy-Fat" w:cs="bubbleboddy-Fat"/>
                      <w:color w:val="68A3D9"/>
                      <w:sz w:val="28"/>
                      <w:szCs w:val="28"/>
                    </w:rPr>
                    <w:t>DODIRA OSJEĆAŠ LOŠE,</w:t>
                  </w:r>
                </w:p>
                <w:p w:rsid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68A3D9"/>
                      <w:sz w:val="24"/>
                      <w:szCs w:val="24"/>
                    </w:rPr>
                  </w:pPr>
                  <w:r w:rsidRPr="00C10568">
                    <w:rPr>
                      <w:rFonts w:ascii="bubbleboddy-Fat" w:hAnsi="bubbleboddy-Fat" w:cs="bubbleboddy-Fat"/>
                      <w:color w:val="68A3D9"/>
                      <w:sz w:val="28"/>
                      <w:szCs w:val="28"/>
                    </w:rPr>
                    <w:t>ONDA ON NIJE DOBAR.</w:t>
                  </w:r>
                  <w:r>
                    <w:rPr>
                      <w:rFonts w:ascii="bubbleboddy-Fat" w:hAnsi="bubbleboddy-Fat" w:cs="bubbleboddy-Fat"/>
                      <w:color w:val="68A3D9"/>
                      <w:sz w:val="40"/>
                      <w:szCs w:val="40"/>
                    </w:rPr>
                    <w:br/>
                  </w:r>
                </w:p>
                <w:p w:rsid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68A3D9"/>
                      <w:sz w:val="24"/>
                      <w:szCs w:val="24"/>
                    </w:rPr>
                  </w:pPr>
                  <w:r>
                    <w:rPr>
                      <w:rFonts w:ascii="VAGRoundedBT-Regular" w:hAnsi="VAGRoundedBT-Regular" w:cs="VAGRoundedBT-Regular"/>
                      <w:color w:val="68A3D9"/>
                      <w:sz w:val="24"/>
                      <w:szCs w:val="24"/>
                    </w:rPr>
                    <w:t>Dobar dodir - loš dodir</w:t>
                  </w:r>
                </w:p>
                <w:p w:rsid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Djeca ne razlikuju uvijek dopuštene od</w:t>
                  </w:r>
                </w:p>
                <w:p w:rsid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nedopuštenih dodira.</w:t>
                  </w:r>
                </w:p>
                <w:p w:rsid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Recite djeci da nije u redu ako ih netko</w:t>
                  </w:r>
                </w:p>
                <w:p w:rsid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gleda ili dodiruje u području intimnih</w:t>
                  </w:r>
                </w:p>
                <w:p w:rsid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dijelova tijela ili traži od njih da gledaju ili</w:t>
                  </w:r>
                </w:p>
                <w:p w:rsid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dodiruju druge u tim područjima. Pravilo</w:t>
                  </w:r>
                </w:p>
                <w:p w:rsid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donjeg rublja pomaže im prepoznati očitu,</w:t>
                  </w:r>
                </w:p>
                <w:p w:rsid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lako pamtljivu granicu: donje rublje. Ono</w:t>
                  </w:r>
                </w:p>
                <w:p w:rsid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također pomaže roditeljima započeti</w:t>
                  </w:r>
                </w:p>
                <w:p w:rsid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razgovor s djecom. Ako djeca nisu sigurna</w:t>
                  </w:r>
                </w:p>
                <w:p w:rsid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je li ponašanje druge osobe prihvatljivo,</w:t>
                  </w:r>
                </w:p>
                <w:p w:rsid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uvjerite se da znaju zatražiti pomoć od</w:t>
                  </w:r>
                </w:p>
                <w:p w:rsid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odrasle osobe u koju imaju povjerenja.</w:t>
                  </w:r>
                </w:p>
                <w:p w:rsid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Roditelji mogu pojasniti da neke odrasle</w:t>
                  </w:r>
                </w:p>
                <w:p w:rsid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osobe (poput osoba koje skrbe o djeci,</w:t>
                  </w:r>
                </w:p>
                <w:p w:rsidR="00C10568" w:rsidRDefault="00C10568" w:rsidP="00C10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roditelja i liječnika) moraju dotaknuti</w:t>
                  </w:r>
                </w:p>
                <w:p w:rsidR="00C10568" w:rsidRDefault="00C10568" w:rsidP="00C10568"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t>djecu, no djecu treba poučiti da kažu “Ne”</w:t>
                  </w:r>
                  <w:r>
                    <w:rPr>
                      <w:rFonts w:ascii="VAGRoundedBT-Regular" w:hAnsi="VAGRoundedBT-Regular" w:cs="VAGRoundedBT-Regular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VAGRoundedBT-Regular" w:hAnsi="VAGRoundedBT-Regular" w:cs="VAGRoundedBT-Regular"/>
                      <w:sz w:val="18"/>
                      <w:szCs w:val="18"/>
                    </w:rPr>
                    <w:t>ako se osjećaju nelagodno.</w:t>
                  </w:r>
                  <w:r>
                    <w:rPr>
                      <w:rFonts w:ascii="VAGRoundedBT-Regular" w:hAnsi="VAGRoundedBT-Regular" w:cs="VAGRoundedBT-Regular"/>
                      <w:sz w:val="18"/>
                      <w:szCs w:val="18"/>
                    </w:rPr>
                    <w:br/>
                  </w:r>
                </w:p>
              </w:txbxContent>
            </v:textbox>
          </v:shape>
        </w:pict>
      </w:r>
    </w:p>
    <w:p w:rsidR="00A16FFA" w:rsidRDefault="00A16FFA" w:rsidP="00A16FFA">
      <w:pPr>
        <w:rPr>
          <w:rFonts w:ascii="VAGRoundedBT-Regular" w:hAnsi="VAGRoundedBT-Regular" w:cs="VAGRoundedBT-Regular"/>
          <w:sz w:val="18"/>
          <w:szCs w:val="18"/>
        </w:rPr>
      </w:pPr>
    </w:p>
    <w:p w:rsidR="00A16FFA" w:rsidRDefault="00A16FFA" w:rsidP="00A16FFA">
      <w:pPr>
        <w:rPr>
          <w:rFonts w:ascii="VAGRoundedBT-Regular" w:hAnsi="VAGRoundedBT-Regular" w:cs="VAGRoundedBT-Regular"/>
          <w:sz w:val="18"/>
          <w:szCs w:val="18"/>
        </w:rPr>
      </w:pPr>
    </w:p>
    <w:p w:rsidR="00067313" w:rsidRDefault="00067313" w:rsidP="00A16FFA">
      <w:pPr>
        <w:rPr>
          <w:rFonts w:ascii="VAGRoundedBT-Regular" w:hAnsi="VAGRoundedBT-Regular" w:cs="VAGRoundedBT-Regular"/>
          <w:sz w:val="18"/>
          <w:szCs w:val="18"/>
        </w:rPr>
      </w:pPr>
    </w:p>
    <w:p w:rsidR="00067313" w:rsidRDefault="00067313" w:rsidP="00A16FFA">
      <w:pPr>
        <w:rPr>
          <w:rFonts w:ascii="VAGRoundedBT-Regular" w:hAnsi="VAGRoundedBT-Regular" w:cs="VAGRoundedBT-Regular"/>
          <w:sz w:val="18"/>
          <w:szCs w:val="18"/>
        </w:rPr>
      </w:pPr>
    </w:p>
    <w:p w:rsidR="00067313" w:rsidRDefault="00067313" w:rsidP="00A16FFA">
      <w:pPr>
        <w:rPr>
          <w:rFonts w:ascii="VAGRoundedBT-Regular" w:hAnsi="VAGRoundedBT-Regular" w:cs="VAGRoundedBT-Regular"/>
          <w:sz w:val="18"/>
          <w:szCs w:val="18"/>
        </w:rPr>
      </w:pPr>
    </w:p>
    <w:p w:rsidR="00067313" w:rsidRDefault="00067313" w:rsidP="00A16FFA">
      <w:pPr>
        <w:rPr>
          <w:rFonts w:ascii="VAGRoundedBT-Regular" w:hAnsi="VAGRoundedBT-Regular" w:cs="VAGRoundedBT-Regular"/>
          <w:sz w:val="18"/>
          <w:szCs w:val="18"/>
        </w:rPr>
      </w:pPr>
    </w:p>
    <w:p w:rsidR="00067313" w:rsidRDefault="00067313" w:rsidP="00A16FFA">
      <w:pPr>
        <w:rPr>
          <w:rFonts w:ascii="VAGRoundedBT-Regular" w:hAnsi="VAGRoundedBT-Regular" w:cs="VAGRoundedBT-Regular"/>
          <w:sz w:val="18"/>
          <w:szCs w:val="18"/>
        </w:rPr>
      </w:pPr>
    </w:p>
    <w:p w:rsidR="00A16FFA" w:rsidRDefault="00705652" w:rsidP="00A16FFA">
      <w:pPr>
        <w:rPr>
          <w:rFonts w:ascii="VAGRoundedBT-Regular" w:hAnsi="VAGRoundedBT-Regular" w:cs="VAGRoundedBT-Regular"/>
          <w:sz w:val="18"/>
          <w:szCs w:val="18"/>
        </w:rPr>
      </w:pPr>
      <w:r>
        <w:rPr>
          <w:rFonts w:ascii="VAGRoundedBT-Regular" w:hAnsi="VAGRoundedBT-Regular" w:cs="VAGRoundedBT-Regular"/>
          <w:noProof/>
          <w:sz w:val="18"/>
          <w:szCs w:val="18"/>
          <w:lang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981075</wp:posOffset>
            </wp:positionV>
            <wp:extent cx="838200" cy="847725"/>
            <wp:effectExtent l="19050" t="0" r="0" b="0"/>
            <wp:wrapNone/>
            <wp:docPr id="1" name="Picture 7" descr="http://www.mobms.hr/media/15782/one-in-f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bms.hr/media/15782/one-in-fi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964" r="50901" b="26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6FFA" w:rsidSect="0067131F">
      <w:pgSz w:w="11906" w:h="16838"/>
      <w:pgMar w:top="1417" w:right="1417" w:bottom="1417" w:left="1417" w:header="708" w:footer="708" w:gutter="0"/>
      <w:cols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AGRoundedBT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bubbleboddy-Fa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6FFA"/>
    <w:rsid w:val="00067313"/>
    <w:rsid w:val="00132566"/>
    <w:rsid w:val="00164EAB"/>
    <w:rsid w:val="0020166F"/>
    <w:rsid w:val="003140DD"/>
    <w:rsid w:val="004042AC"/>
    <w:rsid w:val="004467A2"/>
    <w:rsid w:val="005C13FA"/>
    <w:rsid w:val="0067131F"/>
    <w:rsid w:val="00705652"/>
    <w:rsid w:val="0074591B"/>
    <w:rsid w:val="008C5165"/>
    <w:rsid w:val="009C05A0"/>
    <w:rsid w:val="00A16FFA"/>
    <w:rsid w:val="00AB5ACD"/>
    <w:rsid w:val="00C10568"/>
    <w:rsid w:val="00E26EF6"/>
    <w:rsid w:val="00EA1BDC"/>
    <w:rsid w:val="00F8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56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713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nderwearrul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B54E-5B3E-41B9-9B51-3A261226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2012-01-19T09:32:00Z</cp:lastPrinted>
  <dcterms:created xsi:type="dcterms:W3CDTF">2012-01-18T14:28:00Z</dcterms:created>
  <dcterms:modified xsi:type="dcterms:W3CDTF">2012-01-20T08:50:00Z</dcterms:modified>
</cp:coreProperties>
</file>